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64" w:rsidRDefault="00E05DA9" w:rsidP="003C3DC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学位</w:t>
      </w:r>
      <w:r w:rsidR="00FA2A87">
        <w:rPr>
          <w:rFonts w:hint="eastAsia"/>
          <w:b/>
          <w:sz w:val="36"/>
          <w:szCs w:val="36"/>
        </w:rPr>
        <w:t>授权点合格评估指标</w:t>
      </w:r>
      <w:r>
        <w:rPr>
          <w:rFonts w:hint="eastAsia"/>
          <w:b/>
          <w:sz w:val="36"/>
          <w:szCs w:val="36"/>
        </w:rPr>
        <w:t>细化</w:t>
      </w:r>
    </w:p>
    <w:tbl>
      <w:tblPr>
        <w:tblW w:w="14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9"/>
        <w:gridCol w:w="1215"/>
        <w:gridCol w:w="5865"/>
        <w:gridCol w:w="5865"/>
      </w:tblGrid>
      <w:tr w:rsidR="00636564">
        <w:trPr>
          <w:trHeight w:val="317"/>
        </w:trPr>
        <w:tc>
          <w:tcPr>
            <w:tcW w:w="1389" w:type="dxa"/>
          </w:tcPr>
          <w:p w:rsidR="00636564" w:rsidRDefault="00FA2A87">
            <w:pPr>
              <w:spacing w:line="280" w:lineRule="exact"/>
              <w:ind w:firstLine="306"/>
              <w:rPr>
                <w:szCs w:val="21"/>
              </w:rPr>
            </w:pPr>
            <w:r>
              <w:rPr>
                <w:rFonts w:hint="eastAsia"/>
                <w:szCs w:val="21"/>
              </w:rPr>
              <w:t>一级要素</w:t>
            </w:r>
          </w:p>
        </w:tc>
        <w:tc>
          <w:tcPr>
            <w:tcW w:w="121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二级要素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指标内涵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主要观测点</w:t>
            </w:r>
          </w:p>
        </w:tc>
      </w:tr>
      <w:tr w:rsidR="00636564">
        <w:trPr>
          <w:trHeight w:val="524"/>
        </w:trPr>
        <w:tc>
          <w:tcPr>
            <w:tcW w:w="1389" w:type="dxa"/>
            <w:vMerge w:val="restart"/>
          </w:tcPr>
          <w:p w:rsidR="00636564" w:rsidRDefault="00FA2A8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目标与标准</w:t>
            </w:r>
          </w:p>
        </w:tc>
        <w:tc>
          <w:tcPr>
            <w:tcW w:w="121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1.1</w:t>
            </w:r>
            <w:r>
              <w:rPr>
                <w:rFonts w:hint="eastAsia"/>
                <w:szCs w:val="21"/>
              </w:rPr>
              <w:t>培养目标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本学位点培养研究生的目标定位准确。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考察培养目标制定情况。根据《博士、硕士学位基本要求》、《专业学位类别（领域）博士、硕士学位基本要求》以及各教指委的《专业学位研究生指导性培养方案》中的要求制定，要求结合学位点实际，目标定位明确，设置合理。</w:t>
            </w:r>
          </w:p>
        </w:tc>
      </w:tr>
      <w:tr w:rsidR="00636564">
        <w:trPr>
          <w:trHeight w:val="574"/>
        </w:trPr>
        <w:tc>
          <w:tcPr>
            <w:tcW w:w="1389" w:type="dxa"/>
            <w:vMerge/>
          </w:tcPr>
          <w:p w:rsidR="00636564" w:rsidRDefault="00636564">
            <w:pPr>
              <w:spacing w:line="280" w:lineRule="exact"/>
              <w:rPr>
                <w:szCs w:val="21"/>
              </w:rPr>
            </w:pPr>
          </w:p>
        </w:tc>
        <w:tc>
          <w:tcPr>
            <w:tcW w:w="121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  <w:r>
              <w:rPr>
                <w:rFonts w:hint="eastAsia"/>
                <w:szCs w:val="21"/>
              </w:rPr>
              <w:t>学位标准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本学位点授予博士、硕士学位的基本标准相关制度完善，要求明确。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考察学位标准制定情况。制定与本学位点办学定位、培养目标一致的学位授予标准，指导性、针对性、可执行性较强。各学位点的标准不低于《博士、硕士学位基本要求》、《专业学位类别（领域）博士、硕士学位基本要求》以及《长春工业大学研究生学位授予工作实施细则》。</w:t>
            </w:r>
          </w:p>
        </w:tc>
      </w:tr>
      <w:tr w:rsidR="00636564">
        <w:trPr>
          <w:trHeight w:val="634"/>
        </w:trPr>
        <w:tc>
          <w:tcPr>
            <w:tcW w:w="1389" w:type="dxa"/>
            <w:vMerge w:val="restart"/>
          </w:tcPr>
          <w:p w:rsidR="00636564" w:rsidRDefault="00636564">
            <w:pPr>
              <w:spacing w:line="280" w:lineRule="exact"/>
              <w:rPr>
                <w:szCs w:val="21"/>
              </w:rPr>
            </w:pPr>
          </w:p>
          <w:p w:rsidR="00636564" w:rsidRDefault="00636564">
            <w:pPr>
              <w:spacing w:line="280" w:lineRule="exact"/>
              <w:rPr>
                <w:szCs w:val="21"/>
              </w:rPr>
            </w:pPr>
          </w:p>
          <w:p w:rsidR="00636564" w:rsidRDefault="00636564">
            <w:pPr>
              <w:spacing w:line="280" w:lineRule="exact"/>
              <w:rPr>
                <w:szCs w:val="21"/>
              </w:rPr>
            </w:pPr>
          </w:p>
          <w:p w:rsidR="00636564" w:rsidRDefault="00636564">
            <w:pPr>
              <w:spacing w:line="280" w:lineRule="exact"/>
              <w:rPr>
                <w:szCs w:val="21"/>
              </w:rPr>
            </w:pPr>
          </w:p>
          <w:p w:rsidR="00636564" w:rsidRDefault="00636564">
            <w:pPr>
              <w:spacing w:line="280" w:lineRule="exact"/>
              <w:rPr>
                <w:szCs w:val="21"/>
              </w:rPr>
            </w:pPr>
          </w:p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2 .</w:t>
            </w:r>
            <w:r>
              <w:rPr>
                <w:rFonts w:hint="eastAsia"/>
                <w:szCs w:val="21"/>
              </w:rPr>
              <w:t>基本条件</w:t>
            </w:r>
          </w:p>
          <w:p w:rsidR="00636564" w:rsidRDefault="00636564">
            <w:pPr>
              <w:spacing w:line="280" w:lineRule="exact"/>
              <w:rPr>
                <w:szCs w:val="21"/>
              </w:rPr>
            </w:pPr>
          </w:p>
          <w:p w:rsidR="00636564" w:rsidRDefault="00636564">
            <w:pPr>
              <w:spacing w:line="280" w:lineRule="exact"/>
              <w:rPr>
                <w:szCs w:val="21"/>
              </w:rPr>
            </w:pPr>
          </w:p>
          <w:p w:rsidR="00636564" w:rsidRDefault="00636564">
            <w:pPr>
              <w:spacing w:line="280" w:lineRule="exact"/>
              <w:rPr>
                <w:szCs w:val="21"/>
              </w:rPr>
            </w:pPr>
          </w:p>
          <w:p w:rsidR="00636564" w:rsidRDefault="00636564">
            <w:pPr>
              <w:spacing w:line="280" w:lineRule="exact"/>
              <w:rPr>
                <w:szCs w:val="21"/>
              </w:rPr>
            </w:pPr>
          </w:p>
          <w:p w:rsidR="00636564" w:rsidRDefault="00636564">
            <w:pPr>
              <w:spacing w:line="280" w:lineRule="exact"/>
              <w:rPr>
                <w:szCs w:val="21"/>
              </w:rPr>
            </w:pPr>
          </w:p>
        </w:tc>
        <w:tc>
          <w:tcPr>
            <w:tcW w:w="121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2.1</w:t>
            </w:r>
            <w:r>
              <w:rPr>
                <w:rFonts w:hint="eastAsia"/>
                <w:szCs w:val="21"/>
              </w:rPr>
              <w:t>培养方向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本学位点的主要培养方向符合学科内涵，涵盖本学科主要方向，具有一定前沿性和应用性，方向稳定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5865" w:type="dxa"/>
          </w:tcPr>
          <w:p w:rsidR="00636564" w:rsidRDefault="00FA2A87" w:rsidP="009773C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考察培养方向设置情况。根据《学位授权审核申请基本条件》和《博士、硕士学位基本要求》、《专业学位类别（领域）博士、硕士学位基本要求》专业特色要求，介绍每个方向的内容特色、社会服务功能以及达到的水平概况。要求培养方向稳定，主干方向优势突出，特色鲜明，符合国家和区域经济社会发展需要。</w:t>
            </w:r>
          </w:p>
        </w:tc>
      </w:tr>
      <w:tr w:rsidR="00636564">
        <w:tc>
          <w:tcPr>
            <w:tcW w:w="1389" w:type="dxa"/>
            <w:vMerge/>
          </w:tcPr>
          <w:p w:rsidR="00636564" w:rsidRDefault="00636564">
            <w:pPr>
              <w:spacing w:line="280" w:lineRule="exact"/>
              <w:rPr>
                <w:szCs w:val="21"/>
              </w:rPr>
            </w:pPr>
          </w:p>
        </w:tc>
        <w:tc>
          <w:tcPr>
            <w:tcW w:w="121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2.2</w:t>
            </w:r>
            <w:r>
              <w:rPr>
                <w:rFonts w:hint="eastAsia"/>
                <w:szCs w:val="21"/>
              </w:rPr>
              <w:t>师资队伍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数量合适，结构合理，学术思想端正，教学科研能力及指导能力强，学术带头人具有一定学术影响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5865" w:type="dxa"/>
          </w:tcPr>
          <w:p w:rsidR="003C3DC8" w:rsidRPr="009F4759" w:rsidRDefault="00FA2A87" w:rsidP="003C3DC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主要考察师资队伍规模和结构的合理性</w:t>
            </w:r>
            <w:r w:rsidR="009F4759">
              <w:rPr>
                <w:rFonts w:hint="eastAsia"/>
                <w:szCs w:val="21"/>
              </w:rPr>
              <w:t>：</w:t>
            </w:r>
            <w:r w:rsidR="003C3DC8" w:rsidRPr="009F4759">
              <w:rPr>
                <w:rFonts w:hint="eastAsia"/>
                <w:szCs w:val="21"/>
              </w:rPr>
              <w:t>（</w:t>
            </w:r>
            <w:r w:rsidR="003C3DC8" w:rsidRPr="009F4759">
              <w:rPr>
                <w:rFonts w:hint="eastAsia"/>
                <w:szCs w:val="21"/>
              </w:rPr>
              <w:t>1</w:t>
            </w:r>
            <w:r w:rsidR="003C3DC8" w:rsidRPr="009F4759">
              <w:rPr>
                <w:rFonts w:hint="eastAsia"/>
                <w:szCs w:val="21"/>
              </w:rPr>
              <w:t>）各层次年龄结构：各年龄段教师、导师占比（突出青年教师占比）；（</w:t>
            </w:r>
            <w:r w:rsidR="003C3DC8" w:rsidRPr="009F4759">
              <w:rPr>
                <w:rFonts w:hint="eastAsia"/>
                <w:szCs w:val="21"/>
              </w:rPr>
              <w:t>2</w:t>
            </w:r>
            <w:r w:rsidR="003C3DC8" w:rsidRPr="009F4759">
              <w:rPr>
                <w:rFonts w:hint="eastAsia"/>
                <w:szCs w:val="21"/>
              </w:rPr>
              <w:t>）各学科方向学术带头人、主要学术骨干情况；（</w:t>
            </w:r>
            <w:r w:rsidR="003C3DC8" w:rsidRPr="009F4759">
              <w:rPr>
                <w:rFonts w:hint="eastAsia"/>
                <w:szCs w:val="21"/>
              </w:rPr>
              <w:t>3</w:t>
            </w:r>
            <w:r w:rsidR="003C3DC8" w:rsidRPr="009F4759">
              <w:rPr>
                <w:rFonts w:hint="eastAsia"/>
                <w:szCs w:val="21"/>
              </w:rPr>
              <w:t>）各层次学历结构：具有高学历或学位的教师数量及占比；（</w:t>
            </w:r>
            <w:r w:rsidR="003C3DC8" w:rsidRPr="009F4759">
              <w:rPr>
                <w:rFonts w:hint="eastAsia"/>
                <w:szCs w:val="21"/>
              </w:rPr>
              <w:t>4</w:t>
            </w:r>
            <w:r w:rsidR="003C3DC8" w:rsidRPr="009F4759">
              <w:rPr>
                <w:rFonts w:hint="eastAsia"/>
                <w:szCs w:val="21"/>
              </w:rPr>
              <w:t>）各层次职称结构</w:t>
            </w:r>
            <w:r w:rsidR="003C3DC8" w:rsidRPr="009F4759">
              <w:rPr>
                <w:rFonts w:hint="eastAsia"/>
                <w:szCs w:val="21"/>
              </w:rPr>
              <w:t>:</w:t>
            </w:r>
            <w:r w:rsidR="003C3DC8" w:rsidRPr="009F4759">
              <w:rPr>
                <w:rFonts w:hint="eastAsia"/>
                <w:szCs w:val="21"/>
              </w:rPr>
              <w:t>具有高级职称的教师数量及占比。</w:t>
            </w:r>
          </w:p>
          <w:p w:rsidR="00636564" w:rsidRDefault="003C3DC8" w:rsidP="003C3DC8">
            <w:pPr>
              <w:spacing w:line="280" w:lineRule="exact"/>
              <w:rPr>
                <w:szCs w:val="21"/>
              </w:rPr>
            </w:pPr>
            <w:r w:rsidRPr="009F4759">
              <w:rPr>
                <w:rFonts w:hint="eastAsia"/>
                <w:szCs w:val="21"/>
              </w:rPr>
              <w:t>2</w:t>
            </w:r>
            <w:r w:rsidR="00FA2A87" w:rsidRPr="002C7EF7">
              <w:rPr>
                <w:rFonts w:hint="eastAsia"/>
                <w:szCs w:val="21"/>
              </w:rPr>
              <w:t>.</w:t>
            </w:r>
            <w:r w:rsidR="00FA2A87" w:rsidRPr="002C7EF7">
              <w:rPr>
                <w:rFonts w:hint="eastAsia"/>
                <w:szCs w:val="21"/>
              </w:rPr>
              <w:t>主要考察企业导师情况</w:t>
            </w:r>
            <w:r w:rsidR="00FA2A87" w:rsidRPr="002C7EF7">
              <w:rPr>
                <w:rFonts w:hint="eastAsia"/>
                <w:szCs w:val="21"/>
              </w:rPr>
              <w:t>(</w:t>
            </w:r>
            <w:r w:rsidR="00FA2A87" w:rsidRPr="003C3DC8">
              <w:rPr>
                <w:rFonts w:hint="eastAsia"/>
                <w:b/>
                <w:szCs w:val="21"/>
              </w:rPr>
              <w:t>专业学位</w:t>
            </w:r>
            <w:r w:rsidR="00FA2A87" w:rsidRPr="002C7EF7">
              <w:rPr>
                <w:rFonts w:hint="eastAsia"/>
                <w:szCs w:val="21"/>
              </w:rPr>
              <w:t>)</w:t>
            </w:r>
            <w:r w:rsidR="00FA2A87" w:rsidRPr="002C7EF7">
              <w:rPr>
                <w:rFonts w:hint="eastAsia"/>
                <w:szCs w:val="21"/>
              </w:rPr>
              <w:t>：（</w:t>
            </w:r>
            <w:r w:rsidR="00FA2A87" w:rsidRPr="002C7EF7">
              <w:rPr>
                <w:rFonts w:hint="eastAsia"/>
                <w:szCs w:val="21"/>
              </w:rPr>
              <w:t>1</w:t>
            </w:r>
            <w:r w:rsidR="00FA2A87" w:rsidRPr="002C7EF7">
              <w:rPr>
                <w:rFonts w:hint="eastAsia"/>
                <w:szCs w:val="21"/>
              </w:rPr>
              <w:t>）学历、职称等</w:t>
            </w:r>
            <w:r w:rsidR="00FA2A87">
              <w:rPr>
                <w:rFonts w:hint="eastAsia"/>
                <w:szCs w:val="21"/>
              </w:rPr>
              <w:t>基本情况；（</w:t>
            </w:r>
            <w:r w:rsidR="00FA2A87">
              <w:rPr>
                <w:rFonts w:hint="eastAsia"/>
                <w:szCs w:val="21"/>
              </w:rPr>
              <w:t>2</w:t>
            </w:r>
            <w:r w:rsidR="00FA2A87">
              <w:rPr>
                <w:rFonts w:hint="eastAsia"/>
                <w:szCs w:val="21"/>
              </w:rPr>
              <w:t>）职务及学术兼职情况；（</w:t>
            </w:r>
            <w:r w:rsidR="00FA2A87">
              <w:rPr>
                <w:rFonts w:hint="eastAsia"/>
                <w:szCs w:val="21"/>
              </w:rPr>
              <w:t>3</w:t>
            </w:r>
            <w:r w:rsidR="00FA2A87">
              <w:rPr>
                <w:rFonts w:hint="eastAsia"/>
                <w:szCs w:val="21"/>
              </w:rPr>
              <w:t>）代表性成果等其他情况。</w:t>
            </w:r>
          </w:p>
        </w:tc>
      </w:tr>
      <w:tr w:rsidR="00636564">
        <w:tc>
          <w:tcPr>
            <w:tcW w:w="1389" w:type="dxa"/>
            <w:vMerge/>
          </w:tcPr>
          <w:p w:rsidR="00636564" w:rsidRDefault="00636564">
            <w:pPr>
              <w:spacing w:line="280" w:lineRule="exact"/>
              <w:rPr>
                <w:szCs w:val="21"/>
              </w:rPr>
            </w:pPr>
          </w:p>
        </w:tc>
        <w:tc>
          <w:tcPr>
            <w:tcW w:w="121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2.3</w:t>
            </w:r>
            <w:r>
              <w:rPr>
                <w:rFonts w:hint="eastAsia"/>
                <w:szCs w:val="21"/>
              </w:rPr>
              <w:t>科学研究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承担各类国家、省部级重要科研项目和其它具有重要应用价值、学术价值的研究开发项目。经费充足，满足培养研究生需要。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主要考察近五年科研项目与经费情况。（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）已完成和在研的国家级和省部级、纵向和横向科研项目及经费；（</w:t>
            </w:r>
            <w:r>
              <w:rPr>
                <w:rFonts w:hint="eastAsia"/>
                <w:szCs w:val="21"/>
              </w:rPr>
              <w:t>2</w:t>
            </w:r>
            <w:r w:rsidR="003C3DC8">
              <w:rPr>
                <w:rFonts w:hint="eastAsia"/>
                <w:szCs w:val="21"/>
              </w:rPr>
              <w:t>）近五年代表性项目，其中在研代表性在研项目</w:t>
            </w:r>
            <w:r>
              <w:rPr>
                <w:rFonts w:hint="eastAsia"/>
                <w:szCs w:val="21"/>
              </w:rPr>
              <w:t>。</w:t>
            </w:r>
          </w:p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主要考察科研成果水平：（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）学术论文、专著；（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）成果转</w:t>
            </w:r>
            <w:r>
              <w:rPr>
                <w:rFonts w:hint="eastAsia"/>
                <w:szCs w:val="21"/>
              </w:rPr>
              <w:lastRenderedPageBreak/>
              <w:t>化及应用；（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）省部级以上科研奖励。</w:t>
            </w:r>
          </w:p>
        </w:tc>
      </w:tr>
      <w:tr w:rsidR="00636564">
        <w:trPr>
          <w:trHeight w:val="896"/>
        </w:trPr>
        <w:tc>
          <w:tcPr>
            <w:tcW w:w="1389" w:type="dxa"/>
            <w:vMerge/>
          </w:tcPr>
          <w:p w:rsidR="00636564" w:rsidRDefault="00636564">
            <w:pPr>
              <w:spacing w:line="280" w:lineRule="exact"/>
              <w:rPr>
                <w:szCs w:val="21"/>
              </w:rPr>
            </w:pPr>
          </w:p>
        </w:tc>
        <w:tc>
          <w:tcPr>
            <w:tcW w:w="121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2.4</w:t>
            </w:r>
            <w:r>
              <w:rPr>
                <w:rFonts w:hint="eastAsia"/>
                <w:szCs w:val="21"/>
              </w:rPr>
              <w:t>教学科研支撑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具有各层次重点实验室、工程中心、教学中心等教学、科研平台，具有完备先进的教学、实验、研究设施条件和仪器设备，具有充足的国内外图书资料。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主要考察科研平台情况：本学科国家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部、省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重点实验室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专业实验室、工程技术研究中心、工程研究中心、人文社会科学重点研究基地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情况。</w:t>
            </w:r>
          </w:p>
          <w:p w:rsidR="002C7EF7" w:rsidRPr="009F4759" w:rsidRDefault="002C7EF7">
            <w:pPr>
              <w:spacing w:line="280" w:lineRule="exact"/>
              <w:rPr>
                <w:szCs w:val="21"/>
              </w:rPr>
            </w:pPr>
            <w:r w:rsidRPr="009F4759">
              <w:rPr>
                <w:rFonts w:hint="eastAsia"/>
                <w:szCs w:val="21"/>
              </w:rPr>
              <w:t>2.</w:t>
            </w:r>
            <w:r w:rsidRPr="009F4759">
              <w:rPr>
                <w:rFonts w:hint="eastAsia"/>
                <w:szCs w:val="21"/>
              </w:rPr>
              <w:t>主</w:t>
            </w:r>
            <w:r w:rsidR="003C3DC8" w:rsidRPr="009F4759">
              <w:rPr>
                <w:rFonts w:hint="eastAsia"/>
                <w:szCs w:val="21"/>
              </w:rPr>
              <w:t>要考察实验室和专业学位研究生能力训练条件情况：实验室数量、面积</w:t>
            </w:r>
            <w:r w:rsidRPr="009F4759">
              <w:rPr>
                <w:rFonts w:hint="eastAsia"/>
                <w:szCs w:val="21"/>
              </w:rPr>
              <w:t>。</w:t>
            </w:r>
          </w:p>
          <w:p w:rsidR="00636564" w:rsidRDefault="002C7EF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FA2A87">
              <w:rPr>
                <w:rFonts w:hint="eastAsia"/>
                <w:szCs w:val="21"/>
              </w:rPr>
              <w:t>.</w:t>
            </w:r>
            <w:r w:rsidR="00FA2A87">
              <w:rPr>
                <w:rFonts w:hint="eastAsia"/>
                <w:szCs w:val="21"/>
              </w:rPr>
              <w:t>主要考察专业实践基地情况</w:t>
            </w:r>
            <w:r w:rsidR="00FA2A87">
              <w:rPr>
                <w:rFonts w:hint="eastAsia"/>
                <w:szCs w:val="21"/>
              </w:rPr>
              <w:t>(</w:t>
            </w:r>
            <w:r w:rsidR="00FA2A87">
              <w:rPr>
                <w:rFonts w:hint="eastAsia"/>
                <w:szCs w:val="21"/>
              </w:rPr>
              <w:t>专业学位</w:t>
            </w:r>
            <w:r w:rsidR="00FA2A87">
              <w:rPr>
                <w:rFonts w:hint="eastAsia"/>
                <w:szCs w:val="21"/>
              </w:rPr>
              <w:t>)</w:t>
            </w:r>
            <w:r w:rsidR="00FA2A87">
              <w:rPr>
                <w:rFonts w:hint="eastAsia"/>
                <w:szCs w:val="21"/>
              </w:rPr>
              <w:t>：专业实践基地数量，有否长期合作协议，能否满足实践需要，基地导师数和指导能力。</w:t>
            </w:r>
          </w:p>
          <w:p w:rsidR="00636564" w:rsidRDefault="002C7EF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FA2A87">
              <w:rPr>
                <w:rFonts w:hint="eastAsia"/>
                <w:szCs w:val="21"/>
              </w:rPr>
              <w:t>.</w:t>
            </w:r>
            <w:r w:rsidR="00FA2A87">
              <w:rPr>
                <w:rFonts w:hint="eastAsia"/>
                <w:szCs w:val="21"/>
              </w:rPr>
              <w:t>仪器、图书期刊等支撑条件情况：与本学科密切相关的重大仪器设备情况、总数与金额、图书数量等。</w:t>
            </w:r>
          </w:p>
        </w:tc>
      </w:tr>
      <w:tr w:rsidR="00636564">
        <w:trPr>
          <w:trHeight w:val="611"/>
        </w:trPr>
        <w:tc>
          <w:tcPr>
            <w:tcW w:w="1389" w:type="dxa"/>
            <w:vMerge/>
          </w:tcPr>
          <w:p w:rsidR="00636564" w:rsidRDefault="00636564">
            <w:pPr>
              <w:spacing w:line="280" w:lineRule="exact"/>
              <w:rPr>
                <w:szCs w:val="21"/>
              </w:rPr>
            </w:pPr>
          </w:p>
        </w:tc>
        <w:tc>
          <w:tcPr>
            <w:tcW w:w="121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2.5</w:t>
            </w:r>
            <w:r>
              <w:rPr>
                <w:rFonts w:hint="eastAsia"/>
                <w:szCs w:val="21"/>
              </w:rPr>
              <w:t>奖助体系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本学位点研究生奖助体系的制度建设完善，奖助水平、覆盖面等情况良好。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主要考察奖助体系情况：</w:t>
            </w:r>
          </w:p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校、院两级奖助制度是否健全；</w:t>
            </w:r>
          </w:p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奖助政策执行效果，包括总金额、分项目金额、学院自筹经费、辐射学生数及占比、人均金额等；</w:t>
            </w:r>
          </w:p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导师额外发放的助研经费情况。</w:t>
            </w:r>
          </w:p>
        </w:tc>
      </w:tr>
      <w:tr w:rsidR="00636564">
        <w:trPr>
          <w:trHeight w:val="556"/>
        </w:trPr>
        <w:tc>
          <w:tcPr>
            <w:tcW w:w="1389" w:type="dxa"/>
            <w:vMerge w:val="restart"/>
          </w:tcPr>
          <w:p w:rsidR="00636564" w:rsidRDefault="00636564">
            <w:pPr>
              <w:spacing w:line="280" w:lineRule="exact"/>
              <w:rPr>
                <w:szCs w:val="21"/>
              </w:rPr>
            </w:pPr>
          </w:p>
          <w:p w:rsidR="00636564" w:rsidRDefault="00636564">
            <w:pPr>
              <w:spacing w:line="280" w:lineRule="exact"/>
              <w:rPr>
                <w:szCs w:val="21"/>
              </w:rPr>
            </w:pPr>
          </w:p>
          <w:p w:rsidR="00636564" w:rsidRDefault="00636564">
            <w:pPr>
              <w:spacing w:line="280" w:lineRule="exact"/>
              <w:rPr>
                <w:szCs w:val="21"/>
              </w:rPr>
            </w:pPr>
          </w:p>
          <w:p w:rsidR="00636564" w:rsidRDefault="00636564">
            <w:pPr>
              <w:spacing w:line="280" w:lineRule="exact"/>
              <w:rPr>
                <w:szCs w:val="21"/>
              </w:rPr>
            </w:pPr>
          </w:p>
          <w:p w:rsidR="00636564" w:rsidRDefault="00636564">
            <w:pPr>
              <w:spacing w:line="280" w:lineRule="exact"/>
              <w:rPr>
                <w:szCs w:val="21"/>
              </w:rPr>
            </w:pPr>
          </w:p>
          <w:p w:rsidR="00636564" w:rsidRDefault="00636564">
            <w:pPr>
              <w:spacing w:line="280" w:lineRule="exact"/>
              <w:rPr>
                <w:szCs w:val="21"/>
              </w:rPr>
            </w:pPr>
          </w:p>
          <w:p w:rsidR="00636564" w:rsidRDefault="00636564">
            <w:pPr>
              <w:spacing w:line="280" w:lineRule="exact"/>
              <w:rPr>
                <w:szCs w:val="21"/>
              </w:rPr>
            </w:pPr>
          </w:p>
          <w:p w:rsidR="00636564" w:rsidRDefault="00636564">
            <w:pPr>
              <w:spacing w:line="280" w:lineRule="exact"/>
              <w:rPr>
                <w:szCs w:val="21"/>
              </w:rPr>
            </w:pPr>
          </w:p>
          <w:p w:rsidR="00636564" w:rsidRDefault="00636564">
            <w:pPr>
              <w:spacing w:line="280" w:lineRule="exact"/>
              <w:rPr>
                <w:szCs w:val="21"/>
              </w:rPr>
            </w:pPr>
          </w:p>
          <w:p w:rsidR="00636564" w:rsidRDefault="00636564">
            <w:pPr>
              <w:spacing w:line="280" w:lineRule="exact"/>
              <w:rPr>
                <w:szCs w:val="21"/>
              </w:rPr>
            </w:pPr>
          </w:p>
          <w:p w:rsidR="00636564" w:rsidRDefault="00636564">
            <w:pPr>
              <w:spacing w:line="280" w:lineRule="exact"/>
              <w:rPr>
                <w:szCs w:val="21"/>
              </w:rPr>
            </w:pPr>
          </w:p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人才培养</w:t>
            </w:r>
          </w:p>
        </w:tc>
        <w:tc>
          <w:tcPr>
            <w:tcW w:w="121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3.1</w:t>
            </w:r>
            <w:r>
              <w:rPr>
                <w:rFonts w:hint="eastAsia"/>
                <w:szCs w:val="21"/>
              </w:rPr>
              <w:t>招生选拔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学位授权点报考生源情况好，具有为保证生源质量和录取质量完善的制度、措施。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主要考察学业完成情况：近年招生和毕业生数、授予学位数；</w:t>
            </w:r>
          </w:p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主要考察招生情况：报考数量及录取比例、录取人数、生源结构（学历、专业、是否推免等）。</w:t>
            </w:r>
          </w:p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主要考察为保证生源质量采取的措施：招生宣传；初试、复试、公示等环节的制度建设；复试淘汰率等执行情况。</w:t>
            </w:r>
          </w:p>
        </w:tc>
      </w:tr>
      <w:tr w:rsidR="00636564">
        <w:tc>
          <w:tcPr>
            <w:tcW w:w="1389" w:type="dxa"/>
            <w:vMerge/>
          </w:tcPr>
          <w:p w:rsidR="00636564" w:rsidRDefault="00636564">
            <w:pPr>
              <w:spacing w:line="280" w:lineRule="exact"/>
              <w:rPr>
                <w:szCs w:val="21"/>
              </w:rPr>
            </w:pPr>
          </w:p>
        </w:tc>
        <w:tc>
          <w:tcPr>
            <w:tcW w:w="121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3.2</w:t>
            </w:r>
            <w:r>
              <w:rPr>
                <w:rFonts w:hint="eastAsia"/>
                <w:szCs w:val="21"/>
              </w:rPr>
              <w:t>课程教学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课程体系完善，教学管理规范，重视案例教学，重视教学手段和方式改革，具有课程教学质量保障机制。</w:t>
            </w:r>
          </w:p>
        </w:tc>
        <w:tc>
          <w:tcPr>
            <w:tcW w:w="5865" w:type="dxa"/>
          </w:tcPr>
          <w:p w:rsidR="003C3DC8" w:rsidRPr="009F4759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主要考察核心课程开设情况：专业核心课程、师资情况</w:t>
            </w:r>
            <w:r w:rsidR="003C3DC8">
              <w:rPr>
                <w:rFonts w:hint="eastAsia"/>
                <w:szCs w:val="21"/>
              </w:rPr>
              <w:t>、</w:t>
            </w:r>
            <w:r w:rsidR="00AF107F" w:rsidRPr="009F4759">
              <w:rPr>
                <w:rFonts w:hint="eastAsia"/>
                <w:szCs w:val="21"/>
              </w:rPr>
              <w:t>课堂教学效果</w:t>
            </w:r>
            <w:r w:rsidR="003C3DC8" w:rsidRPr="009F4759">
              <w:rPr>
                <w:rFonts w:hint="eastAsia"/>
                <w:szCs w:val="21"/>
              </w:rPr>
              <w:t>等。</w:t>
            </w:r>
          </w:p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主要考察课程教学质量：（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）教学质量监督机制；（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）教学大纲、教学计划等课程设置或更新管理制度等。</w:t>
            </w:r>
          </w:p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主要考察教材、案例库等情况：（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）国家级规划教材、其他各类规划教材；（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）正式出版或自主编写的研究生教材、讲义；（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）案例库情况。</w:t>
            </w:r>
          </w:p>
          <w:p w:rsidR="00636564" w:rsidRDefault="00FA2A87" w:rsidP="003C3DC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教学文件归档情况</w:t>
            </w:r>
            <w:r>
              <w:rPr>
                <w:rFonts w:hint="eastAsia"/>
                <w:szCs w:val="21"/>
              </w:rPr>
              <w:t>:(1)</w:t>
            </w:r>
            <w:r>
              <w:rPr>
                <w:rFonts w:hint="eastAsia"/>
                <w:szCs w:val="21"/>
              </w:rPr>
              <w:t>试卷、成绩单归档；</w:t>
            </w:r>
            <w:r>
              <w:rPr>
                <w:rFonts w:hint="eastAsia"/>
                <w:szCs w:val="21"/>
              </w:rPr>
              <w:t>(2)</w:t>
            </w:r>
            <w:r>
              <w:rPr>
                <w:rFonts w:hint="eastAsia"/>
                <w:szCs w:val="21"/>
              </w:rPr>
              <w:t>学生个人培养计</w:t>
            </w:r>
            <w:r>
              <w:rPr>
                <w:rFonts w:hint="eastAsia"/>
                <w:szCs w:val="21"/>
              </w:rPr>
              <w:lastRenderedPageBreak/>
              <w:t>划归档；</w:t>
            </w:r>
            <w:r>
              <w:rPr>
                <w:rFonts w:hint="eastAsia"/>
                <w:szCs w:val="21"/>
              </w:rPr>
              <w:t>(3)</w:t>
            </w:r>
            <w:r>
              <w:rPr>
                <w:rFonts w:hint="eastAsia"/>
                <w:szCs w:val="21"/>
              </w:rPr>
              <w:t>开题报告、中期检查报告归档</w:t>
            </w:r>
            <w:r w:rsidR="003C3DC8">
              <w:rPr>
                <w:rFonts w:hint="eastAsia"/>
                <w:szCs w:val="21"/>
              </w:rPr>
              <w:t>。</w:t>
            </w:r>
          </w:p>
        </w:tc>
      </w:tr>
      <w:tr w:rsidR="00636564">
        <w:tc>
          <w:tcPr>
            <w:tcW w:w="1389" w:type="dxa"/>
            <w:vMerge/>
          </w:tcPr>
          <w:p w:rsidR="00636564" w:rsidRDefault="00636564">
            <w:pPr>
              <w:spacing w:line="280" w:lineRule="exact"/>
              <w:rPr>
                <w:szCs w:val="21"/>
              </w:rPr>
            </w:pPr>
          </w:p>
        </w:tc>
        <w:tc>
          <w:tcPr>
            <w:tcW w:w="121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导师指导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制定并实施实施严格规范的导师队伍选聘、培训、考核制度，导师责任心强。指导能力强，研究生对导师指导工作满意度高。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主要考察导师遴选及培训情况：（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）各学科导师遴选细则及管理办法；（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）组织业务培训；（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）导师履职情况等。</w:t>
            </w:r>
          </w:p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主要考察导师指导研究生制度情况：相应制度及执行情况（学生满意度调查）。</w:t>
            </w:r>
          </w:p>
        </w:tc>
      </w:tr>
      <w:tr w:rsidR="00636564">
        <w:trPr>
          <w:trHeight w:val="1073"/>
        </w:trPr>
        <w:tc>
          <w:tcPr>
            <w:tcW w:w="1389" w:type="dxa"/>
            <w:vMerge/>
          </w:tcPr>
          <w:p w:rsidR="00636564" w:rsidRDefault="00636564">
            <w:pPr>
              <w:spacing w:line="280" w:lineRule="exact"/>
              <w:rPr>
                <w:szCs w:val="21"/>
              </w:rPr>
            </w:pPr>
          </w:p>
        </w:tc>
        <w:tc>
          <w:tcPr>
            <w:tcW w:w="121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>学术训练（或实践教学）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科教结合、产学结合好，研究生参与导师科研项目及获得其他渠道资助的科研项目较多，具有稳定的、运行良好的实训、实践基地。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专业学位研究生的实践训练情况：（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）制度安排、参与时间和方式等；（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）执行效果。</w:t>
            </w:r>
          </w:p>
        </w:tc>
      </w:tr>
      <w:tr w:rsidR="00636564">
        <w:trPr>
          <w:trHeight w:val="836"/>
        </w:trPr>
        <w:tc>
          <w:tcPr>
            <w:tcW w:w="1389" w:type="dxa"/>
            <w:vMerge/>
          </w:tcPr>
          <w:p w:rsidR="00636564" w:rsidRDefault="00636564">
            <w:pPr>
              <w:spacing w:line="280" w:lineRule="exact"/>
              <w:rPr>
                <w:szCs w:val="21"/>
              </w:rPr>
            </w:pPr>
            <w:bookmarkStart w:id="0" w:name="_Hlk500247727"/>
          </w:p>
        </w:tc>
        <w:tc>
          <w:tcPr>
            <w:tcW w:w="121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bookmarkStart w:id="1" w:name="OLE_LINK1"/>
            <w:bookmarkStart w:id="2" w:name="OLE_LINK2"/>
            <w:r>
              <w:rPr>
                <w:rFonts w:hint="eastAsia"/>
                <w:szCs w:val="21"/>
              </w:rPr>
              <w:t>3.5</w:t>
            </w:r>
            <w:r>
              <w:rPr>
                <w:rFonts w:hint="eastAsia"/>
                <w:szCs w:val="21"/>
              </w:rPr>
              <w:t>学术交流</w:t>
            </w:r>
            <w:bookmarkEnd w:id="1"/>
            <w:bookmarkEnd w:id="2"/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积极开展和组织师生参加国内外学术交流活动和学术会议，积极开展与国内外高水平大学（学科）合作培养研究生等多种形式的深层次合作：重视研究生教育国际化。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研究生参加国内外学术交流的比例，区分国内外统计人次、比例以及代表性学术交流活动；研究生参加内外学术交流的制度和经费保障。</w:t>
            </w:r>
          </w:p>
        </w:tc>
      </w:tr>
      <w:bookmarkEnd w:id="0"/>
      <w:tr w:rsidR="00636564">
        <w:tc>
          <w:tcPr>
            <w:tcW w:w="1389" w:type="dxa"/>
            <w:vMerge/>
          </w:tcPr>
          <w:p w:rsidR="00636564" w:rsidRDefault="00636564">
            <w:pPr>
              <w:spacing w:line="280" w:lineRule="exact"/>
              <w:rPr>
                <w:szCs w:val="21"/>
              </w:rPr>
            </w:pPr>
          </w:p>
        </w:tc>
        <w:tc>
          <w:tcPr>
            <w:tcW w:w="121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3.6</w:t>
            </w:r>
            <w:r>
              <w:rPr>
                <w:rFonts w:hint="eastAsia"/>
                <w:szCs w:val="21"/>
              </w:rPr>
              <w:t>分流淘汰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具有在培养各阶段研究生特别</w:t>
            </w:r>
            <w:r>
              <w:rPr>
                <w:rFonts w:hint="eastAsia"/>
                <w:color w:val="000000" w:themeColor="text1"/>
                <w:szCs w:val="21"/>
              </w:rPr>
              <w:t>是博士</w:t>
            </w:r>
            <w:r>
              <w:rPr>
                <w:rFonts w:hint="eastAsia"/>
                <w:szCs w:val="21"/>
              </w:rPr>
              <w:t>生分流的机制并严格执行。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主要考察制度建设情况，如组织开题、中期考核、组织预答辩和答辩的制度和执行情况。</w:t>
            </w:r>
          </w:p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9F4759">
              <w:rPr>
                <w:rFonts w:hint="eastAsia"/>
                <w:szCs w:val="21"/>
              </w:rPr>
              <w:t>主要考察分流淘汰情况</w:t>
            </w:r>
            <w:r w:rsidR="003724A8">
              <w:rPr>
                <w:rFonts w:hint="eastAsia"/>
                <w:szCs w:val="21"/>
              </w:rPr>
              <w:t>：</w:t>
            </w:r>
            <w:r w:rsidR="003724A8" w:rsidRPr="009F4759">
              <w:rPr>
                <w:rFonts w:hint="eastAsia"/>
                <w:szCs w:val="21"/>
              </w:rPr>
              <w:t>近年招生和毕业生数、授予学位数；未能毕业或获得学位的数据统计分类</w:t>
            </w:r>
          </w:p>
        </w:tc>
      </w:tr>
      <w:tr w:rsidR="00636564">
        <w:tc>
          <w:tcPr>
            <w:tcW w:w="1389" w:type="dxa"/>
            <w:vMerge/>
          </w:tcPr>
          <w:p w:rsidR="00636564" w:rsidRDefault="00636564">
            <w:pPr>
              <w:spacing w:line="280" w:lineRule="exact"/>
              <w:rPr>
                <w:szCs w:val="21"/>
              </w:rPr>
            </w:pPr>
          </w:p>
        </w:tc>
        <w:tc>
          <w:tcPr>
            <w:tcW w:w="121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3.7</w:t>
            </w:r>
            <w:r>
              <w:rPr>
                <w:rFonts w:hint="eastAsia"/>
                <w:szCs w:val="21"/>
              </w:rPr>
              <w:t>论文质量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本学位点学位论文在各类论文抽检、评审和优秀论文评选中取得优异成绩。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主要考察论文学位抽检情况：学校抽查送审情况、省级论文抽检情况。</w:t>
            </w:r>
          </w:p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主要考察学位论文评审管理制度以及执行效果。</w:t>
            </w:r>
          </w:p>
          <w:p w:rsidR="00AF107F" w:rsidRDefault="00AF107F" w:rsidP="003724A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 w:rsidRPr="009F4759">
              <w:rPr>
                <w:rFonts w:hint="eastAsia"/>
                <w:szCs w:val="21"/>
              </w:rPr>
              <w:t>主要考察论文质量分析情况</w:t>
            </w:r>
            <w:r w:rsidR="003724A8" w:rsidRPr="009F4759">
              <w:rPr>
                <w:rFonts w:hint="eastAsia"/>
                <w:szCs w:val="21"/>
              </w:rPr>
              <w:t>。</w:t>
            </w:r>
          </w:p>
        </w:tc>
      </w:tr>
      <w:tr w:rsidR="00636564">
        <w:tc>
          <w:tcPr>
            <w:tcW w:w="1389" w:type="dxa"/>
            <w:vMerge/>
          </w:tcPr>
          <w:p w:rsidR="00636564" w:rsidRDefault="00636564">
            <w:pPr>
              <w:spacing w:line="280" w:lineRule="exact"/>
              <w:rPr>
                <w:szCs w:val="21"/>
              </w:rPr>
            </w:pPr>
          </w:p>
        </w:tc>
        <w:tc>
          <w:tcPr>
            <w:tcW w:w="121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3.8</w:t>
            </w:r>
            <w:r>
              <w:rPr>
                <w:rFonts w:hint="eastAsia"/>
                <w:szCs w:val="21"/>
              </w:rPr>
              <w:t>学风教育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本学位点重视科学道德和学术规范教育，学术不端行为得到严肃处罚。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主要考察学风教育情况：（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）学院或学位点进行学术道德宣讲的情况（形式、次数等）；（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）参加学校或省级学风宣讲的情况。</w:t>
            </w:r>
          </w:p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主要考察学术不端处理情况：对学术不端行为处理的制度和情况。</w:t>
            </w:r>
          </w:p>
        </w:tc>
      </w:tr>
      <w:tr w:rsidR="00636564">
        <w:tc>
          <w:tcPr>
            <w:tcW w:w="1389" w:type="dxa"/>
            <w:vMerge/>
          </w:tcPr>
          <w:p w:rsidR="00636564" w:rsidRDefault="00636564">
            <w:pPr>
              <w:spacing w:line="280" w:lineRule="exact"/>
              <w:rPr>
                <w:szCs w:val="21"/>
              </w:rPr>
            </w:pPr>
          </w:p>
        </w:tc>
        <w:tc>
          <w:tcPr>
            <w:tcW w:w="121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3.9</w:t>
            </w:r>
            <w:r>
              <w:rPr>
                <w:rFonts w:hint="eastAsia"/>
                <w:szCs w:val="21"/>
              </w:rPr>
              <w:t>管理服务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建设研究生权益保障制度，在学研究生学习满意度高。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主要考察管理制度情况：相关规章制度、申诉机制等。</w:t>
            </w:r>
          </w:p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主要考察学习满意度情况：学生的满意度及意见建议。</w:t>
            </w:r>
          </w:p>
        </w:tc>
      </w:tr>
      <w:tr w:rsidR="00636564">
        <w:tc>
          <w:tcPr>
            <w:tcW w:w="1389" w:type="dxa"/>
            <w:vMerge/>
          </w:tcPr>
          <w:p w:rsidR="00636564" w:rsidRDefault="00636564">
            <w:pPr>
              <w:spacing w:line="280" w:lineRule="exact"/>
              <w:rPr>
                <w:szCs w:val="21"/>
              </w:rPr>
            </w:pPr>
          </w:p>
        </w:tc>
        <w:tc>
          <w:tcPr>
            <w:tcW w:w="121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3.10</w:t>
            </w:r>
            <w:r>
              <w:rPr>
                <w:rFonts w:hint="eastAsia"/>
                <w:szCs w:val="21"/>
              </w:rPr>
              <w:t>就业发展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重视毕业研究生的就业率、就业去向分析，重视用人单位意见反馈，重视毕业生发展质量。</w:t>
            </w:r>
          </w:p>
        </w:tc>
        <w:tc>
          <w:tcPr>
            <w:tcW w:w="5865" w:type="dxa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主要考察就业情况：按时间节点统计的就业率；就业去向（按工作单位性质、级别以及和毕业专业契合度）分析。</w:t>
            </w:r>
          </w:p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2.</w:t>
            </w:r>
            <w:r>
              <w:rPr>
                <w:rFonts w:hint="eastAsia"/>
                <w:szCs w:val="21"/>
              </w:rPr>
              <w:t>主要考察就业后发展情况：用人单位满意度调查，后续发展质量调查。</w:t>
            </w:r>
          </w:p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毕业生毕业后反馈就业建议。</w:t>
            </w:r>
          </w:p>
        </w:tc>
      </w:tr>
      <w:tr w:rsidR="00636564">
        <w:tc>
          <w:tcPr>
            <w:tcW w:w="2604" w:type="dxa"/>
            <w:gridSpan w:val="2"/>
          </w:tcPr>
          <w:p w:rsidR="00636564" w:rsidRDefault="00636564">
            <w:pPr>
              <w:spacing w:line="280" w:lineRule="exact"/>
              <w:rPr>
                <w:szCs w:val="21"/>
              </w:rPr>
            </w:pPr>
          </w:p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主要优势特色</w:t>
            </w:r>
            <w:bookmarkStart w:id="3" w:name="_GoBack"/>
            <w:bookmarkEnd w:id="3"/>
          </w:p>
        </w:tc>
        <w:tc>
          <w:tcPr>
            <w:tcW w:w="11730" w:type="dxa"/>
            <w:gridSpan w:val="2"/>
          </w:tcPr>
          <w:p w:rsidR="00636564" w:rsidRDefault="00FA2A8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本授权点所具有明显区别与同类授权点的优势或特色；授权点在促进区域经济建设、社会进步、文化发展、国防建设等方面已取得重大成果或影响。</w:t>
            </w:r>
          </w:p>
        </w:tc>
      </w:tr>
    </w:tbl>
    <w:p w:rsidR="00636564" w:rsidRDefault="00FA2A87">
      <w:pPr>
        <w:rPr>
          <w:sz w:val="24"/>
        </w:rPr>
      </w:pPr>
      <w:r>
        <w:rPr>
          <w:szCs w:val="21"/>
        </w:rPr>
        <w:t xml:space="preserve"> </w:t>
      </w:r>
    </w:p>
    <w:sectPr w:rsidR="00636564" w:rsidSect="006365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534" w:rsidRDefault="004B0534" w:rsidP="00C81458">
      <w:r>
        <w:separator/>
      </w:r>
    </w:p>
  </w:endnote>
  <w:endnote w:type="continuationSeparator" w:id="0">
    <w:p w:rsidR="004B0534" w:rsidRDefault="004B0534" w:rsidP="00C81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534" w:rsidRDefault="004B0534" w:rsidP="00C81458">
      <w:r>
        <w:separator/>
      </w:r>
    </w:p>
  </w:footnote>
  <w:footnote w:type="continuationSeparator" w:id="0">
    <w:p w:rsidR="004B0534" w:rsidRDefault="004B0534" w:rsidP="00C814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8BA"/>
    <w:rsid w:val="0000371C"/>
    <w:rsid w:val="00015B46"/>
    <w:rsid w:val="00021D3B"/>
    <w:rsid w:val="0008466B"/>
    <w:rsid w:val="0008644C"/>
    <w:rsid w:val="000B6457"/>
    <w:rsid w:val="000D4EEB"/>
    <w:rsid w:val="00153DD5"/>
    <w:rsid w:val="0018273B"/>
    <w:rsid w:val="001A1432"/>
    <w:rsid w:val="001A1EFC"/>
    <w:rsid w:val="001B02F2"/>
    <w:rsid w:val="001B2003"/>
    <w:rsid w:val="001C7EDA"/>
    <w:rsid w:val="001D2C4C"/>
    <w:rsid w:val="0022634D"/>
    <w:rsid w:val="00233105"/>
    <w:rsid w:val="00257B7B"/>
    <w:rsid w:val="00286FAE"/>
    <w:rsid w:val="002A24EF"/>
    <w:rsid w:val="002A5AB1"/>
    <w:rsid w:val="002B7CD4"/>
    <w:rsid w:val="002C3833"/>
    <w:rsid w:val="002C7EF7"/>
    <w:rsid w:val="002F0467"/>
    <w:rsid w:val="00355F2E"/>
    <w:rsid w:val="003724A8"/>
    <w:rsid w:val="00390BF3"/>
    <w:rsid w:val="00397E9F"/>
    <w:rsid w:val="003B66B7"/>
    <w:rsid w:val="003C3DC8"/>
    <w:rsid w:val="003E6F3B"/>
    <w:rsid w:val="00404B15"/>
    <w:rsid w:val="00410929"/>
    <w:rsid w:val="00425147"/>
    <w:rsid w:val="0045644B"/>
    <w:rsid w:val="00476E7B"/>
    <w:rsid w:val="0048112B"/>
    <w:rsid w:val="00490A89"/>
    <w:rsid w:val="004B0534"/>
    <w:rsid w:val="004E289B"/>
    <w:rsid w:val="00502EF9"/>
    <w:rsid w:val="00523E88"/>
    <w:rsid w:val="00524060"/>
    <w:rsid w:val="00563829"/>
    <w:rsid w:val="005658E3"/>
    <w:rsid w:val="005F1349"/>
    <w:rsid w:val="00636564"/>
    <w:rsid w:val="0067361E"/>
    <w:rsid w:val="00682F9F"/>
    <w:rsid w:val="006A1FBB"/>
    <w:rsid w:val="00720D35"/>
    <w:rsid w:val="00722225"/>
    <w:rsid w:val="00727E7E"/>
    <w:rsid w:val="00732FD5"/>
    <w:rsid w:val="00745C21"/>
    <w:rsid w:val="007A52B1"/>
    <w:rsid w:val="007A584E"/>
    <w:rsid w:val="007C0B9F"/>
    <w:rsid w:val="007C1646"/>
    <w:rsid w:val="007C2DEB"/>
    <w:rsid w:val="00833244"/>
    <w:rsid w:val="0085097A"/>
    <w:rsid w:val="008A133A"/>
    <w:rsid w:val="008F2FCF"/>
    <w:rsid w:val="00906F7F"/>
    <w:rsid w:val="00920365"/>
    <w:rsid w:val="00932226"/>
    <w:rsid w:val="009773C0"/>
    <w:rsid w:val="00977639"/>
    <w:rsid w:val="00984DCC"/>
    <w:rsid w:val="00990AEB"/>
    <w:rsid w:val="00994ADC"/>
    <w:rsid w:val="00997E40"/>
    <w:rsid w:val="009B46D4"/>
    <w:rsid w:val="009F0BF0"/>
    <w:rsid w:val="009F4759"/>
    <w:rsid w:val="00A13131"/>
    <w:rsid w:val="00A16B23"/>
    <w:rsid w:val="00A8465D"/>
    <w:rsid w:val="00A91CB9"/>
    <w:rsid w:val="00AA07AC"/>
    <w:rsid w:val="00AF107F"/>
    <w:rsid w:val="00AF31FA"/>
    <w:rsid w:val="00B03ADA"/>
    <w:rsid w:val="00B57A5E"/>
    <w:rsid w:val="00BB1B1E"/>
    <w:rsid w:val="00BB2DFC"/>
    <w:rsid w:val="00BB31C3"/>
    <w:rsid w:val="00BD30BB"/>
    <w:rsid w:val="00BF61B4"/>
    <w:rsid w:val="00C238A6"/>
    <w:rsid w:val="00C23CAC"/>
    <w:rsid w:val="00C51C30"/>
    <w:rsid w:val="00C577A5"/>
    <w:rsid w:val="00C81458"/>
    <w:rsid w:val="00CA0BBE"/>
    <w:rsid w:val="00CA22D1"/>
    <w:rsid w:val="00CB0E87"/>
    <w:rsid w:val="00CC75E4"/>
    <w:rsid w:val="00D042E9"/>
    <w:rsid w:val="00D05FCF"/>
    <w:rsid w:val="00D169FC"/>
    <w:rsid w:val="00D22148"/>
    <w:rsid w:val="00D64CFB"/>
    <w:rsid w:val="00D74581"/>
    <w:rsid w:val="00D770D4"/>
    <w:rsid w:val="00D859C3"/>
    <w:rsid w:val="00DF3878"/>
    <w:rsid w:val="00DF68BA"/>
    <w:rsid w:val="00E05DA9"/>
    <w:rsid w:val="00E259CE"/>
    <w:rsid w:val="00E4552C"/>
    <w:rsid w:val="00E863E5"/>
    <w:rsid w:val="00E97C5C"/>
    <w:rsid w:val="00EA07D6"/>
    <w:rsid w:val="00EA2F14"/>
    <w:rsid w:val="00EC6183"/>
    <w:rsid w:val="00EE6910"/>
    <w:rsid w:val="00EF38D9"/>
    <w:rsid w:val="00EF6A9A"/>
    <w:rsid w:val="00F0091E"/>
    <w:rsid w:val="00F43899"/>
    <w:rsid w:val="00F605F2"/>
    <w:rsid w:val="00FA2A87"/>
    <w:rsid w:val="00FB224B"/>
    <w:rsid w:val="00FC3226"/>
    <w:rsid w:val="00FE5FCF"/>
    <w:rsid w:val="00FF1F0F"/>
    <w:rsid w:val="334E6A94"/>
    <w:rsid w:val="5A6E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65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36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36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365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Emphasis"/>
    <w:basedOn w:val="a0"/>
    <w:uiPriority w:val="20"/>
    <w:qFormat/>
    <w:rsid w:val="00636564"/>
    <w:rPr>
      <w:i/>
      <w:iCs/>
    </w:rPr>
  </w:style>
  <w:style w:type="character" w:styleId="a7">
    <w:name w:val="Hyperlink"/>
    <w:basedOn w:val="a0"/>
    <w:rsid w:val="00636564"/>
    <w:rPr>
      <w:color w:val="0000FF"/>
      <w:u w:val="single"/>
    </w:rPr>
  </w:style>
  <w:style w:type="table" w:styleId="a8">
    <w:name w:val="Table Grid"/>
    <w:basedOn w:val="a1"/>
    <w:qFormat/>
    <w:rsid w:val="006365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63656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6365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穿越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 经典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449</Words>
  <Characters>2561</Characters>
  <Application>Microsoft Office Word</Application>
  <DocSecurity>0</DocSecurity>
  <Lines>21</Lines>
  <Paragraphs>6</Paragraphs>
  <ScaleCrop>false</ScaleCrop>
  <Company>WWW.YlmF.CoM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关于各学位授权点提交自评报告的通知</dc:title>
  <dc:creator>雨林木风</dc:creator>
  <cp:lastModifiedBy>xbany</cp:lastModifiedBy>
  <cp:revision>19</cp:revision>
  <cp:lastPrinted>2015-07-22T07:15:00Z</cp:lastPrinted>
  <dcterms:created xsi:type="dcterms:W3CDTF">2017-10-30T06:14:00Z</dcterms:created>
  <dcterms:modified xsi:type="dcterms:W3CDTF">2018-09-28T06:54:00Z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